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06.11.2023 г., от 05:00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 ИЗБИРАНЕ НА КМЕТ НА ОБЩИНА ПЛОВДИВ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 ИЗБИРАНЕ НА КМЕТ НА РАЙОН ЦЕНТРАЛЕН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 ИЗБИРАНЕ НА КМЕТ НА РАЙОН ИЗТОЧЕН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 ИЗБИРАНЕ НА КМЕТ НА РАЙОН ЗАПАДЕН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 ИЗБИРАНЕ НА КМЕТ НА РАЙОН СЕВЕРЕН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ЗА ИЗБИРАНЕ НА КМЕТ НА РАЙОН ЮЖЕН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 ЗА ИЗБИРАНЕ НА КМЕТ НА РАЙОН ТРАКИЯ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ab/>
              <w:t>Отпадане от кандидатската листа на ПП “ГЕРБ” на избран общински съветник, поради избирането му за кмет на община Пловдив и обявяване за избран на следващия от листата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Отпадане от кандидатската листа на коалиция от партии „Продължаваме Промяната – Демократична България“ на избран общински съветник, поради избирането му за кмет на район “Северен” в община Пловдив и обявяване за избран, следващия от листата.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